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EA6E" w14:textId="555E617F" w:rsidR="0040284F" w:rsidRPr="00350129" w:rsidRDefault="0040284F" w:rsidP="0040284F">
      <w:pPr>
        <w:jc w:val="center"/>
        <w:rPr>
          <w:rFonts w:ascii="Verdana" w:hAnsi="Verdana"/>
          <w:b/>
          <w:sz w:val="36"/>
          <w:szCs w:val="28"/>
        </w:rPr>
      </w:pPr>
      <w:r>
        <w:rPr>
          <w:rFonts w:ascii="Verdana" w:hAnsi="Verdana"/>
          <w:b/>
          <w:sz w:val="36"/>
          <w:szCs w:val="28"/>
        </w:rPr>
        <w:t>Algebra 1 with Probability</w:t>
      </w:r>
    </w:p>
    <w:p w14:paraId="28C57267" w14:textId="77777777" w:rsidR="0040284F" w:rsidRDefault="0040284F" w:rsidP="0040284F">
      <w:pPr>
        <w:jc w:val="center"/>
        <w:rPr>
          <w:rFonts w:ascii="Verdana" w:hAnsi="Verdana"/>
          <w:b/>
          <w:sz w:val="28"/>
          <w:szCs w:val="28"/>
        </w:rPr>
      </w:pPr>
      <w:r>
        <w:rPr>
          <w:rFonts w:ascii="Verdana" w:hAnsi="Verdana"/>
          <w:b/>
          <w:sz w:val="28"/>
          <w:szCs w:val="28"/>
        </w:rPr>
        <w:t xml:space="preserve">Coach Hamric </w:t>
      </w:r>
    </w:p>
    <w:p w14:paraId="39C2973C" w14:textId="77777777" w:rsidR="0040284F" w:rsidRPr="00465AFE" w:rsidRDefault="0040284F" w:rsidP="0040284F">
      <w:pPr>
        <w:jc w:val="center"/>
        <w:rPr>
          <w:rFonts w:ascii="Verdana" w:hAnsi="Verdana"/>
          <w:b/>
          <w:sz w:val="28"/>
          <w:szCs w:val="28"/>
        </w:rPr>
      </w:pPr>
      <w:r>
        <w:rPr>
          <w:rFonts w:ascii="Verdana" w:hAnsi="Verdana"/>
          <w:b/>
          <w:sz w:val="28"/>
          <w:szCs w:val="28"/>
        </w:rPr>
        <w:t>Prep: 4</w:t>
      </w:r>
      <w:r w:rsidRPr="00A13B73">
        <w:rPr>
          <w:rFonts w:ascii="Verdana" w:hAnsi="Verdana"/>
          <w:b/>
          <w:sz w:val="28"/>
          <w:szCs w:val="28"/>
          <w:vertAlign w:val="superscript"/>
        </w:rPr>
        <w:t>th</w:t>
      </w:r>
      <w:r>
        <w:rPr>
          <w:rFonts w:ascii="Verdana" w:hAnsi="Verdana"/>
          <w:b/>
          <w:sz w:val="28"/>
          <w:szCs w:val="28"/>
        </w:rPr>
        <w:t xml:space="preserve"> Block (1:37 - 3:10)</w:t>
      </w:r>
    </w:p>
    <w:p w14:paraId="7930AD03" w14:textId="77777777" w:rsidR="0040284F" w:rsidRPr="00465AFE" w:rsidRDefault="00000000" w:rsidP="0040284F">
      <w:pPr>
        <w:jc w:val="center"/>
        <w:rPr>
          <w:rFonts w:ascii="Verdana" w:hAnsi="Verdana"/>
          <w:b/>
          <w:sz w:val="28"/>
          <w:szCs w:val="28"/>
        </w:rPr>
      </w:pPr>
      <w:hyperlink r:id="rId4" w:history="1">
        <w:r w:rsidR="0040284F" w:rsidRPr="00E44826">
          <w:rPr>
            <w:rStyle w:val="Hyperlink"/>
            <w:rFonts w:ascii="Verdana" w:hAnsi="Verdana"/>
            <w:sz w:val="28"/>
            <w:szCs w:val="28"/>
          </w:rPr>
          <w:t>ahamric@tcss.net</w:t>
        </w:r>
      </w:hyperlink>
      <w:r w:rsidR="0040284F">
        <w:rPr>
          <w:rFonts w:ascii="Verdana" w:hAnsi="Verdana"/>
          <w:sz w:val="28"/>
          <w:szCs w:val="28"/>
        </w:rPr>
        <w:t xml:space="preserve"> </w:t>
      </w:r>
    </w:p>
    <w:p w14:paraId="5B6A5296" w14:textId="77777777" w:rsidR="0040284F" w:rsidRPr="00465AFE" w:rsidRDefault="0040284F" w:rsidP="0040284F">
      <w:pPr>
        <w:rPr>
          <w:rFonts w:ascii="Verdana" w:hAnsi="Verdana"/>
          <w:b/>
          <w:sz w:val="28"/>
          <w:szCs w:val="28"/>
          <w:u w:val="single"/>
        </w:rPr>
      </w:pPr>
    </w:p>
    <w:p w14:paraId="18EF2022" w14:textId="77777777" w:rsidR="0040284F" w:rsidRPr="00B4295A" w:rsidRDefault="0040284F" w:rsidP="0040284F">
      <w:pPr>
        <w:rPr>
          <w:rFonts w:ascii="Verdana" w:hAnsi="Verdana"/>
          <w:b/>
          <w:u w:val="single"/>
        </w:rPr>
      </w:pPr>
      <w:r w:rsidRPr="00B4295A">
        <w:rPr>
          <w:rFonts w:ascii="Verdana" w:hAnsi="Verdana"/>
          <w:b/>
          <w:u w:val="single"/>
        </w:rPr>
        <w:t>Course Description</w:t>
      </w:r>
    </w:p>
    <w:p w14:paraId="28B07173" w14:textId="36A1967B" w:rsidR="0040284F" w:rsidRDefault="0040284F" w:rsidP="0040284F">
      <w:pPr>
        <w:rPr>
          <w:rFonts w:ascii="Verdana" w:hAnsi="Verdana"/>
        </w:rPr>
      </w:pPr>
      <w:r w:rsidRPr="00B4295A">
        <w:rPr>
          <w:rFonts w:ascii="Verdana" w:hAnsi="Verdana"/>
        </w:rPr>
        <w:t xml:space="preserve">Objectives for this class correspond to the Alabama Common Core Standards. They may be viewed by visiting the following </w:t>
      </w:r>
      <w:r>
        <w:rPr>
          <w:rFonts w:ascii="Verdana" w:hAnsi="Verdana"/>
        </w:rPr>
        <w:t xml:space="preserve">pdf, scrolling down to Algebra </w:t>
      </w:r>
      <w:r w:rsidR="00284D85">
        <w:rPr>
          <w:rFonts w:ascii="Verdana" w:hAnsi="Verdana"/>
        </w:rPr>
        <w:t>1</w:t>
      </w:r>
      <w:r>
        <w:rPr>
          <w:rFonts w:ascii="Verdana" w:hAnsi="Verdana"/>
        </w:rPr>
        <w:t xml:space="preserve"> with </w:t>
      </w:r>
      <w:r w:rsidR="00284D85">
        <w:rPr>
          <w:rFonts w:ascii="Verdana" w:hAnsi="Verdana"/>
        </w:rPr>
        <w:t>Probability</w:t>
      </w:r>
      <w:r w:rsidRPr="00B4295A">
        <w:rPr>
          <w:rFonts w:ascii="Verdana" w:hAnsi="Verdana"/>
        </w:rPr>
        <w:t xml:space="preserve">: </w:t>
      </w:r>
    </w:p>
    <w:p w14:paraId="13FD0BFE" w14:textId="77777777" w:rsidR="0040284F" w:rsidRDefault="00000000" w:rsidP="0040284F">
      <w:hyperlink r:id="rId5" w:history="1">
        <w:r w:rsidR="0040284F" w:rsidRPr="00786BE6">
          <w:rPr>
            <w:rStyle w:val="Hyperlink"/>
          </w:rPr>
          <w:t>https://www.alabamaachieves.org/wp-content/uploads/2021/03/2019-Alabama-Mathematics-COS-Rev.-6-2021.pdf</w:t>
        </w:r>
      </w:hyperlink>
    </w:p>
    <w:p w14:paraId="6DC1C020" w14:textId="77777777" w:rsidR="0040284F" w:rsidRPr="00B4295A" w:rsidRDefault="0040284F" w:rsidP="0040284F">
      <w:pPr>
        <w:rPr>
          <w:rFonts w:ascii="Verdana" w:hAnsi="Verdana"/>
          <w:b/>
          <w:u w:val="single"/>
        </w:rPr>
      </w:pPr>
    </w:p>
    <w:p w14:paraId="3CF475F3" w14:textId="77777777" w:rsidR="0040284F" w:rsidRPr="00B4295A" w:rsidRDefault="0040284F" w:rsidP="0040284F">
      <w:pPr>
        <w:rPr>
          <w:rFonts w:ascii="Verdana" w:hAnsi="Verdana"/>
          <w:b/>
          <w:u w:val="single"/>
        </w:rPr>
      </w:pPr>
      <w:r w:rsidRPr="00B4295A">
        <w:rPr>
          <w:rFonts w:ascii="Verdana" w:hAnsi="Verdana"/>
          <w:b/>
          <w:u w:val="single"/>
        </w:rPr>
        <w:t>Contact Information</w:t>
      </w:r>
    </w:p>
    <w:p w14:paraId="6BEFF21F" w14:textId="3EBC058C" w:rsidR="0040284F" w:rsidRPr="00B4295A" w:rsidRDefault="0040284F" w:rsidP="0040284F">
      <w:pPr>
        <w:rPr>
          <w:rFonts w:ascii="Verdana" w:hAnsi="Verdana"/>
        </w:rPr>
      </w:pPr>
      <w:r w:rsidRPr="00B4295A">
        <w:rPr>
          <w:rFonts w:ascii="Verdana" w:hAnsi="Verdana"/>
        </w:rPr>
        <w:t xml:space="preserve">E-mail: </w:t>
      </w:r>
      <w:hyperlink r:id="rId6" w:history="1">
        <w:r w:rsidRPr="00E44826">
          <w:rPr>
            <w:rStyle w:val="Hyperlink"/>
            <w:rFonts w:ascii="Verdana" w:hAnsi="Verdana"/>
          </w:rPr>
          <w:t>ahamric@tcss.net</w:t>
        </w:r>
      </w:hyperlink>
      <w:r w:rsidRPr="00B4295A">
        <w:rPr>
          <w:rFonts w:ascii="Verdana" w:hAnsi="Verdana"/>
        </w:rPr>
        <w:t xml:space="preserve">.  </w:t>
      </w:r>
      <w:r w:rsidR="003F4B75">
        <w:rPr>
          <w:rFonts w:ascii="Verdana" w:hAnsi="Verdana"/>
        </w:rPr>
        <w:tab/>
      </w:r>
      <w:r w:rsidR="003F4B75">
        <w:rPr>
          <w:rFonts w:ascii="Verdana" w:hAnsi="Verdana"/>
        </w:rPr>
        <w:tab/>
      </w:r>
      <w:r w:rsidR="003F4B75">
        <w:rPr>
          <w:rFonts w:ascii="Verdana" w:hAnsi="Verdana"/>
        </w:rPr>
        <w:tab/>
      </w:r>
      <w:r w:rsidRPr="00B4295A">
        <w:rPr>
          <w:rFonts w:ascii="Verdana" w:hAnsi="Verdana"/>
        </w:rPr>
        <w:t>Phone: (205) 342-2775</w:t>
      </w:r>
    </w:p>
    <w:p w14:paraId="6F28856C" w14:textId="77777777" w:rsidR="0040284F" w:rsidRPr="00B4295A" w:rsidRDefault="0040284F" w:rsidP="0040284F">
      <w:pPr>
        <w:rPr>
          <w:rFonts w:ascii="Verdana" w:hAnsi="Verdana"/>
        </w:rPr>
      </w:pPr>
    </w:p>
    <w:p w14:paraId="7DEC59FF" w14:textId="77777777" w:rsidR="0040284F" w:rsidRPr="00B4295A" w:rsidRDefault="0040284F" w:rsidP="0040284F">
      <w:pPr>
        <w:rPr>
          <w:rFonts w:ascii="Verdana" w:hAnsi="Verdana"/>
          <w:b/>
          <w:u w:val="single"/>
        </w:rPr>
      </w:pPr>
      <w:r w:rsidRPr="00B4295A">
        <w:rPr>
          <w:rFonts w:ascii="Verdana" w:hAnsi="Verdana"/>
          <w:b/>
          <w:u w:val="single"/>
        </w:rPr>
        <w:t>Grades</w:t>
      </w:r>
    </w:p>
    <w:p w14:paraId="6F458877" w14:textId="77777777" w:rsidR="0040284F" w:rsidRDefault="0040284F" w:rsidP="0040284F">
      <w:pPr>
        <w:pStyle w:val="NormalWeb"/>
        <w:spacing w:before="0" w:beforeAutospacing="0" w:after="0" w:afterAutospacing="0"/>
      </w:pPr>
      <w:r>
        <w:rPr>
          <w:color w:val="000000"/>
          <w:sz w:val="20"/>
          <w:szCs w:val="20"/>
        </w:rPr>
        <w:t>Each nine weeks grades will be based on a point system with the following assigned weights:</w:t>
      </w:r>
    </w:p>
    <w:p w14:paraId="59912EBF" w14:textId="77777777" w:rsidR="0040284F" w:rsidRDefault="0040284F" w:rsidP="0040284F">
      <w:pPr>
        <w:pStyle w:val="NormalWeb"/>
        <w:spacing w:before="0" w:beforeAutospacing="0" w:after="0" w:afterAutospacing="0"/>
      </w:pPr>
      <w:r>
        <w:rPr>
          <w:color w:val="000000"/>
          <w:sz w:val="20"/>
          <w:szCs w:val="20"/>
        </w:rPr>
        <w:t>         </w:t>
      </w:r>
      <w:r>
        <w:rPr>
          <w:rStyle w:val="apple-tab-span"/>
          <w:color w:val="000000"/>
          <w:sz w:val="20"/>
          <w:szCs w:val="20"/>
        </w:rPr>
        <w:tab/>
      </w:r>
      <w:r>
        <w:rPr>
          <w:color w:val="000000"/>
          <w:sz w:val="20"/>
          <w:szCs w:val="20"/>
        </w:rPr>
        <w:t>Chapter Test</w:t>
      </w:r>
      <w:r>
        <w:rPr>
          <w:rStyle w:val="apple-tab-span"/>
          <w:color w:val="000000"/>
          <w:sz w:val="20"/>
          <w:szCs w:val="20"/>
        </w:rPr>
        <w:tab/>
      </w:r>
      <w:r>
        <w:rPr>
          <w:rStyle w:val="apple-tab-span"/>
          <w:color w:val="000000"/>
          <w:sz w:val="20"/>
          <w:szCs w:val="20"/>
        </w:rPr>
        <w:tab/>
      </w:r>
      <w:r>
        <w:rPr>
          <w:color w:val="000000"/>
          <w:sz w:val="20"/>
          <w:szCs w:val="20"/>
        </w:rPr>
        <w:t xml:space="preserve">           </w:t>
      </w:r>
      <w:r>
        <w:rPr>
          <w:rStyle w:val="apple-tab-span"/>
          <w:color w:val="000000"/>
          <w:sz w:val="20"/>
          <w:szCs w:val="20"/>
        </w:rPr>
        <w:tab/>
      </w:r>
      <w:r>
        <w:rPr>
          <w:color w:val="000000"/>
          <w:sz w:val="20"/>
          <w:szCs w:val="20"/>
        </w:rPr>
        <w:t xml:space="preserve">        </w:t>
      </w:r>
      <w:r>
        <w:rPr>
          <w:rStyle w:val="apple-tab-span"/>
          <w:color w:val="000000"/>
          <w:sz w:val="20"/>
          <w:szCs w:val="20"/>
        </w:rPr>
        <w:tab/>
      </w:r>
      <w:r>
        <w:rPr>
          <w:color w:val="000000"/>
          <w:sz w:val="20"/>
          <w:szCs w:val="20"/>
        </w:rPr>
        <w:t>100 - 150 pts each (about 50%)</w:t>
      </w:r>
    </w:p>
    <w:p w14:paraId="31BB366C" w14:textId="77777777" w:rsidR="0040284F" w:rsidRDefault="0040284F" w:rsidP="0040284F">
      <w:pPr>
        <w:pStyle w:val="NormalWeb"/>
        <w:spacing w:before="0" w:beforeAutospacing="0" w:after="0" w:afterAutospacing="0"/>
      </w:pPr>
      <w:r>
        <w:rPr>
          <w:rStyle w:val="apple-tab-span"/>
          <w:color w:val="000000"/>
          <w:sz w:val="20"/>
          <w:szCs w:val="20"/>
        </w:rPr>
        <w:tab/>
      </w:r>
      <w:r>
        <w:rPr>
          <w:color w:val="000000"/>
          <w:sz w:val="20"/>
          <w:szCs w:val="20"/>
        </w:rPr>
        <w:t>Projects</w:t>
      </w:r>
      <w:r>
        <w:rPr>
          <w:rStyle w:val="apple-tab-span"/>
          <w:color w:val="000000"/>
          <w:sz w:val="20"/>
          <w:szCs w:val="20"/>
        </w:rPr>
        <w:tab/>
      </w:r>
      <w:r>
        <w:rPr>
          <w:rStyle w:val="apple-tab-span"/>
          <w:color w:val="000000"/>
          <w:sz w:val="20"/>
          <w:szCs w:val="20"/>
        </w:rPr>
        <w:tab/>
      </w:r>
      <w:r>
        <w:rPr>
          <w:rStyle w:val="apple-tab-span"/>
          <w:color w:val="000000"/>
          <w:sz w:val="20"/>
          <w:szCs w:val="20"/>
        </w:rPr>
        <w:tab/>
      </w:r>
      <w:r>
        <w:rPr>
          <w:rStyle w:val="apple-tab-span"/>
          <w:color w:val="000000"/>
          <w:sz w:val="20"/>
          <w:szCs w:val="20"/>
        </w:rPr>
        <w:tab/>
      </w:r>
      <w:r>
        <w:rPr>
          <w:rStyle w:val="apple-tab-span"/>
          <w:color w:val="000000"/>
          <w:sz w:val="20"/>
          <w:szCs w:val="20"/>
        </w:rPr>
        <w:tab/>
      </w:r>
      <w:r>
        <w:rPr>
          <w:color w:val="000000"/>
          <w:sz w:val="20"/>
          <w:szCs w:val="20"/>
        </w:rPr>
        <w:t>50 - 100 pts (about 10%)</w:t>
      </w:r>
    </w:p>
    <w:p w14:paraId="76238953" w14:textId="77777777" w:rsidR="0040284F" w:rsidRDefault="0040284F" w:rsidP="0040284F">
      <w:pPr>
        <w:pStyle w:val="NormalWeb"/>
        <w:spacing w:before="0" w:beforeAutospacing="0" w:after="0" w:afterAutospacing="0"/>
      </w:pPr>
      <w:r>
        <w:rPr>
          <w:color w:val="000000"/>
          <w:sz w:val="20"/>
          <w:szCs w:val="20"/>
        </w:rPr>
        <w:t>        </w:t>
      </w:r>
      <w:r>
        <w:rPr>
          <w:rStyle w:val="apple-tab-span"/>
          <w:color w:val="000000"/>
          <w:sz w:val="20"/>
          <w:szCs w:val="20"/>
        </w:rPr>
        <w:tab/>
      </w:r>
      <w:r>
        <w:rPr>
          <w:color w:val="000000"/>
          <w:sz w:val="20"/>
          <w:szCs w:val="20"/>
        </w:rPr>
        <w:t xml:space="preserve">Quizzes                                           </w:t>
      </w:r>
      <w:r>
        <w:rPr>
          <w:rStyle w:val="apple-tab-span"/>
          <w:color w:val="000000"/>
          <w:sz w:val="20"/>
          <w:szCs w:val="20"/>
        </w:rPr>
        <w:tab/>
      </w:r>
      <w:r>
        <w:rPr>
          <w:color w:val="000000"/>
          <w:sz w:val="20"/>
          <w:szCs w:val="20"/>
        </w:rPr>
        <w:t xml:space="preserve">        </w:t>
      </w:r>
      <w:r>
        <w:rPr>
          <w:rStyle w:val="apple-tab-span"/>
          <w:color w:val="000000"/>
          <w:sz w:val="20"/>
          <w:szCs w:val="20"/>
        </w:rPr>
        <w:tab/>
      </w:r>
      <w:r>
        <w:rPr>
          <w:color w:val="000000"/>
          <w:sz w:val="20"/>
          <w:szCs w:val="20"/>
        </w:rPr>
        <w:t>20 pts each (about 10%)</w:t>
      </w:r>
    </w:p>
    <w:p w14:paraId="4C5828EB" w14:textId="77777777" w:rsidR="0040284F" w:rsidRDefault="0040284F" w:rsidP="0040284F">
      <w:pPr>
        <w:pStyle w:val="NormalWeb"/>
        <w:spacing w:before="0" w:beforeAutospacing="0" w:after="0" w:afterAutospacing="0"/>
      </w:pPr>
      <w:r>
        <w:rPr>
          <w:color w:val="000000"/>
          <w:sz w:val="20"/>
          <w:szCs w:val="20"/>
        </w:rPr>
        <w:t>        </w:t>
      </w:r>
      <w:r>
        <w:rPr>
          <w:rStyle w:val="apple-tab-span"/>
          <w:color w:val="000000"/>
          <w:sz w:val="20"/>
          <w:szCs w:val="20"/>
        </w:rPr>
        <w:tab/>
      </w:r>
      <w:r>
        <w:rPr>
          <w:color w:val="000000"/>
          <w:sz w:val="20"/>
          <w:szCs w:val="20"/>
        </w:rPr>
        <w:t xml:space="preserve">HW/CW/Daily Participation                       </w:t>
      </w:r>
      <w:r>
        <w:rPr>
          <w:rStyle w:val="apple-tab-span"/>
          <w:color w:val="000000"/>
          <w:sz w:val="20"/>
          <w:szCs w:val="20"/>
        </w:rPr>
        <w:tab/>
      </w:r>
      <w:r>
        <w:rPr>
          <w:color w:val="000000"/>
          <w:sz w:val="20"/>
          <w:szCs w:val="20"/>
        </w:rPr>
        <w:t>1 - 15 pts each (about 30%)</w:t>
      </w:r>
    </w:p>
    <w:p w14:paraId="6D268B45" w14:textId="77777777" w:rsidR="0040284F" w:rsidRDefault="0040284F" w:rsidP="0040284F">
      <w:r>
        <w:rPr>
          <w:color w:val="000000"/>
          <w:sz w:val="20"/>
          <w:szCs w:val="20"/>
        </w:rPr>
        <w:t>During the nine weeks, students will receive a variety of grades from tests, quizzes (announced and unannounced), class activities, homework, writing activities, notebook quizzes and exit slips. Extra credit will only be given on select academic assignments during the nine weeks (usually in the form of bonus on a test or quiz). At the end of each nine weeks, each student will take a comprehensive exam. To determine the nine weeks grade, see the table above.</w:t>
      </w:r>
      <w:r>
        <w:rPr>
          <w:color w:val="000000"/>
        </w:rPr>
        <w:t xml:space="preserve">  </w:t>
      </w:r>
    </w:p>
    <w:p w14:paraId="7AB9D657" w14:textId="77777777" w:rsidR="0040284F" w:rsidRDefault="0040284F" w:rsidP="0040284F">
      <w:pPr>
        <w:rPr>
          <w:rFonts w:ascii="Verdana" w:hAnsi="Verdana"/>
        </w:rPr>
      </w:pPr>
    </w:p>
    <w:p w14:paraId="4660C69C" w14:textId="77777777" w:rsidR="0040284F" w:rsidRPr="00706606" w:rsidRDefault="0040284F" w:rsidP="0040284F">
      <w:pPr>
        <w:rPr>
          <w:rFonts w:ascii="Verdana" w:hAnsi="Verdana"/>
          <w:b/>
          <w:u w:val="single"/>
        </w:rPr>
      </w:pPr>
      <w:r w:rsidRPr="00706606">
        <w:rPr>
          <w:rFonts w:ascii="Verdana" w:hAnsi="Verdana"/>
          <w:b/>
          <w:u w:val="single"/>
        </w:rPr>
        <w:t>Calculators</w:t>
      </w:r>
    </w:p>
    <w:p w14:paraId="09B02405" w14:textId="77777777" w:rsidR="0040284F" w:rsidRDefault="0040284F" w:rsidP="0040284F">
      <w:pPr>
        <w:pStyle w:val="NormalWeb"/>
        <w:spacing w:before="0" w:beforeAutospacing="0" w:after="0" w:afterAutospacing="0"/>
      </w:pPr>
      <w:r>
        <w:rPr>
          <w:color w:val="000000"/>
          <w:sz w:val="20"/>
          <w:szCs w:val="20"/>
        </w:rPr>
        <w:t>I will use a Texas Instruments N-Spire graphing calculator in class regularly. You may want to have a graphing calculator as well. YOU ARE NOT REQUIRED TO BUY THIS CALCULATOR! I recommend the TI-83, TI-83 Plus, TI-84, TI-84 Plus and the TI-</w:t>
      </w:r>
      <w:proofErr w:type="spellStart"/>
      <w:r>
        <w:rPr>
          <w:color w:val="000000"/>
          <w:sz w:val="20"/>
          <w:szCs w:val="20"/>
        </w:rPr>
        <w:t>Nspire</w:t>
      </w:r>
      <w:proofErr w:type="spellEnd"/>
      <w:r>
        <w:rPr>
          <w:color w:val="000000"/>
          <w:sz w:val="20"/>
          <w:szCs w:val="20"/>
        </w:rPr>
        <w:t>. I will have a set of TI-</w:t>
      </w:r>
      <w:proofErr w:type="spellStart"/>
      <w:r>
        <w:rPr>
          <w:color w:val="000000"/>
          <w:sz w:val="20"/>
          <w:szCs w:val="20"/>
        </w:rPr>
        <w:t>Nspires</w:t>
      </w:r>
      <w:proofErr w:type="spellEnd"/>
      <w:r>
        <w:rPr>
          <w:color w:val="000000"/>
          <w:sz w:val="20"/>
          <w:szCs w:val="20"/>
        </w:rPr>
        <w:t xml:space="preserve"> in class to use but it might be useful for you to have your own. You will be able to use one on the ACT as well as AP test so you want to be very familiar with it.</w:t>
      </w:r>
    </w:p>
    <w:p w14:paraId="45628305" w14:textId="77777777" w:rsidR="0040284F" w:rsidRDefault="0040284F" w:rsidP="0040284F">
      <w:pPr>
        <w:pStyle w:val="NormalWeb"/>
        <w:spacing w:before="0" w:beforeAutospacing="0" w:after="0" w:afterAutospacing="0"/>
      </w:pPr>
      <w:r>
        <w:rPr>
          <w:color w:val="000000"/>
          <w:sz w:val="20"/>
          <w:szCs w:val="20"/>
        </w:rPr>
        <w:t xml:space="preserve">We will use the calculator in a variety of ways including: Conduct explorations, Graph functions within arbitrary windows, </w:t>
      </w:r>
      <w:proofErr w:type="gramStart"/>
      <w:r>
        <w:rPr>
          <w:color w:val="000000"/>
          <w:sz w:val="20"/>
          <w:szCs w:val="20"/>
        </w:rPr>
        <w:t>Solve</w:t>
      </w:r>
      <w:proofErr w:type="gramEnd"/>
      <w:r>
        <w:rPr>
          <w:color w:val="000000"/>
          <w:sz w:val="20"/>
          <w:szCs w:val="20"/>
        </w:rPr>
        <w:t xml:space="preserve"> equations numerically, Analyze and interpret results, Justify and explain results of graphs and equations. </w:t>
      </w:r>
    </w:p>
    <w:p w14:paraId="6F494149" w14:textId="77777777" w:rsidR="0040284F" w:rsidRPr="00B4295A" w:rsidRDefault="0040284F" w:rsidP="0040284F">
      <w:pPr>
        <w:rPr>
          <w:rFonts w:ascii="Verdana" w:hAnsi="Verdana"/>
        </w:rPr>
      </w:pPr>
    </w:p>
    <w:p w14:paraId="685A91FE" w14:textId="77777777" w:rsidR="0040284F" w:rsidRPr="00B4295A" w:rsidRDefault="0040284F" w:rsidP="0040284F">
      <w:pPr>
        <w:rPr>
          <w:rFonts w:ascii="Verdana" w:hAnsi="Verdana"/>
          <w:u w:val="single"/>
        </w:rPr>
      </w:pPr>
      <w:r w:rsidRPr="00B4295A">
        <w:rPr>
          <w:rFonts w:ascii="Verdana" w:hAnsi="Verdana"/>
          <w:b/>
          <w:u w:val="single"/>
        </w:rPr>
        <w:t>Materials</w:t>
      </w:r>
    </w:p>
    <w:p w14:paraId="759F9C81" w14:textId="58844A5B" w:rsidR="0040284F" w:rsidRPr="00B4295A" w:rsidRDefault="0040284F" w:rsidP="0040284F">
      <w:pPr>
        <w:rPr>
          <w:rFonts w:ascii="Verdana" w:hAnsi="Verdana"/>
          <w:b/>
        </w:rPr>
      </w:pPr>
      <w:r w:rsidRPr="00B4295A">
        <w:rPr>
          <w:rFonts w:ascii="Verdana" w:hAnsi="Verdana"/>
        </w:rPr>
        <w:t xml:space="preserve">Bring </w:t>
      </w:r>
      <w:r>
        <w:rPr>
          <w:rFonts w:ascii="Verdana" w:hAnsi="Verdana"/>
        </w:rPr>
        <w:t xml:space="preserve">math binder/notebook, </w:t>
      </w:r>
      <w:r w:rsidRPr="00B4295A">
        <w:rPr>
          <w:rFonts w:ascii="Verdana" w:hAnsi="Verdana"/>
        </w:rPr>
        <w:t xml:space="preserve">paper, </w:t>
      </w:r>
      <w:r w:rsidR="003F4B75">
        <w:rPr>
          <w:rFonts w:ascii="Verdana" w:hAnsi="Verdana"/>
        </w:rPr>
        <w:t xml:space="preserve">and </w:t>
      </w:r>
      <w:r w:rsidRPr="00B4295A">
        <w:rPr>
          <w:rFonts w:ascii="Verdana" w:hAnsi="Verdana"/>
        </w:rPr>
        <w:t>pencils to class daily</w:t>
      </w:r>
      <w:r>
        <w:rPr>
          <w:rFonts w:ascii="Verdana" w:hAnsi="Verdana"/>
        </w:rPr>
        <w:t xml:space="preserve"> </w:t>
      </w:r>
    </w:p>
    <w:p w14:paraId="0743FBE6" w14:textId="77777777" w:rsidR="0040284F" w:rsidRPr="00B4295A" w:rsidRDefault="0040284F" w:rsidP="0040284F">
      <w:pPr>
        <w:rPr>
          <w:rFonts w:ascii="Verdana" w:hAnsi="Verdana"/>
          <w:b/>
          <w:u w:val="single"/>
        </w:rPr>
      </w:pPr>
    </w:p>
    <w:p w14:paraId="562363EC" w14:textId="77777777" w:rsidR="0040284F" w:rsidRPr="00B4295A" w:rsidRDefault="0040284F" w:rsidP="0040284F">
      <w:pPr>
        <w:rPr>
          <w:rFonts w:ascii="Verdana" w:hAnsi="Verdana"/>
          <w:u w:val="single"/>
        </w:rPr>
      </w:pPr>
      <w:r w:rsidRPr="00B4295A">
        <w:rPr>
          <w:rFonts w:ascii="Verdana" w:hAnsi="Verdana"/>
          <w:b/>
          <w:u w:val="single"/>
        </w:rPr>
        <w:t xml:space="preserve">Progress Reports </w:t>
      </w:r>
    </w:p>
    <w:p w14:paraId="26BD2582" w14:textId="77777777" w:rsidR="0040284F" w:rsidRPr="00B4295A" w:rsidRDefault="0040284F" w:rsidP="0040284F">
      <w:pPr>
        <w:rPr>
          <w:rFonts w:ascii="Verdana" w:hAnsi="Verdana"/>
        </w:rPr>
      </w:pPr>
      <w:r w:rsidRPr="00B4295A">
        <w:rPr>
          <w:rFonts w:ascii="Verdana" w:hAnsi="Verdana"/>
        </w:rPr>
        <w:t>Progress reports will be sent home 4 ½ weeks into each 9-week period. These are to be signed by a parent/guardian and returned.</w:t>
      </w:r>
    </w:p>
    <w:p w14:paraId="4154BEB9" w14:textId="77777777" w:rsidR="0040284F" w:rsidRPr="00B4295A" w:rsidRDefault="0040284F" w:rsidP="0040284F">
      <w:pPr>
        <w:rPr>
          <w:rFonts w:ascii="Verdana" w:hAnsi="Verdana"/>
        </w:rPr>
      </w:pPr>
    </w:p>
    <w:p w14:paraId="6B259885" w14:textId="77777777" w:rsidR="0040284F" w:rsidRPr="00B4295A" w:rsidRDefault="0040284F" w:rsidP="0040284F">
      <w:pPr>
        <w:rPr>
          <w:rFonts w:ascii="Verdana" w:hAnsi="Verdana"/>
          <w:b/>
        </w:rPr>
      </w:pPr>
      <w:r w:rsidRPr="00B4295A">
        <w:rPr>
          <w:rFonts w:ascii="Verdana" w:hAnsi="Verdana"/>
          <w:b/>
        </w:rPr>
        <w:t>***Read the Parent Information Guide, provided by the Tuscaloosa County Board of Education, for policies on make-up work, absences, exemption and other important information.</w:t>
      </w:r>
    </w:p>
    <w:p w14:paraId="1C5913F0" w14:textId="77777777" w:rsidR="0040284F" w:rsidRPr="00B4295A" w:rsidRDefault="0040284F" w:rsidP="0040284F">
      <w:pPr>
        <w:rPr>
          <w:rFonts w:ascii="Verdana" w:hAnsi="Verdana"/>
        </w:rPr>
      </w:pPr>
    </w:p>
    <w:p w14:paraId="205EAE23" w14:textId="77777777" w:rsidR="0040284F" w:rsidRDefault="0040284F" w:rsidP="0040284F">
      <w:pPr>
        <w:rPr>
          <w:rFonts w:ascii="Verdana" w:hAnsi="Verdana"/>
        </w:rPr>
      </w:pPr>
      <w:r w:rsidRPr="006D60C9">
        <w:rPr>
          <w:rFonts w:ascii="Verdana" w:hAnsi="Verdana"/>
          <w:b/>
          <w:u w:val="single"/>
        </w:rPr>
        <w:t>Schoology</w:t>
      </w:r>
    </w:p>
    <w:p w14:paraId="2004C138" w14:textId="662574B3" w:rsidR="00D971E6" w:rsidRPr="003F4B75" w:rsidRDefault="0040284F">
      <w:pPr>
        <w:rPr>
          <w:rFonts w:ascii="Verdana" w:hAnsi="Verdana"/>
          <w:b/>
        </w:rPr>
      </w:pPr>
      <w:r>
        <w:rPr>
          <w:rFonts w:ascii="Verdana" w:hAnsi="Verdana"/>
        </w:rPr>
        <w:t xml:space="preserve">We will still use Schoology from time to time in class. It will also be available in the situation that a student is quarantined or knows they will miss a significant </w:t>
      </w:r>
      <w:r w:rsidR="00284D85">
        <w:rPr>
          <w:rFonts w:ascii="Verdana" w:hAnsi="Verdana"/>
        </w:rPr>
        <w:t>amount</w:t>
      </w:r>
      <w:r>
        <w:rPr>
          <w:rFonts w:ascii="Verdana" w:hAnsi="Verdana"/>
        </w:rPr>
        <w:t xml:space="preserve"> of class. </w:t>
      </w:r>
    </w:p>
    <w:sectPr w:rsidR="00D971E6" w:rsidRPr="003F4B75" w:rsidSect="00A313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4F"/>
    <w:rsid w:val="00284D85"/>
    <w:rsid w:val="003F4B75"/>
    <w:rsid w:val="0040284F"/>
    <w:rsid w:val="0066015B"/>
    <w:rsid w:val="00CB60E6"/>
    <w:rsid w:val="00D9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8F50F"/>
  <w15:chartTrackingRefBased/>
  <w15:docId w15:val="{E0B7F833-06AC-D14A-BD18-B75BCBBE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4F"/>
    <w:rPr>
      <w:rFonts w:ascii="Times New Roman" w:eastAsia="Times New Roman" w:hAnsi="Times New Roman" w:cs="Times New Roman"/>
    </w:rPr>
  </w:style>
  <w:style w:type="paragraph" w:styleId="Heading1">
    <w:name w:val="heading 1"/>
    <w:basedOn w:val="Normal"/>
    <w:link w:val="Heading1Char"/>
    <w:uiPriority w:val="9"/>
    <w:qFormat/>
    <w:rsid w:val="00402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4F"/>
    <w:rPr>
      <w:rFonts w:ascii="Times New Roman" w:eastAsia="Times New Roman" w:hAnsi="Times New Roman" w:cs="Times New Roman"/>
      <w:b/>
      <w:bCs/>
      <w:kern w:val="36"/>
      <w:sz w:val="48"/>
      <w:szCs w:val="48"/>
    </w:rPr>
  </w:style>
  <w:style w:type="character" w:styleId="Hyperlink">
    <w:name w:val="Hyperlink"/>
    <w:rsid w:val="0040284F"/>
    <w:rPr>
      <w:color w:val="0000FF"/>
      <w:u w:val="single"/>
    </w:rPr>
  </w:style>
  <w:style w:type="paragraph" w:styleId="NormalWeb">
    <w:name w:val="Normal (Web)"/>
    <w:basedOn w:val="Normal"/>
    <w:uiPriority w:val="99"/>
    <w:unhideWhenUsed/>
    <w:rsid w:val="0040284F"/>
    <w:pPr>
      <w:spacing w:before="100" w:beforeAutospacing="1" w:after="100" w:afterAutospacing="1"/>
    </w:pPr>
  </w:style>
  <w:style w:type="character" w:customStyle="1" w:styleId="apple-tab-span">
    <w:name w:val="apple-tab-span"/>
    <w:basedOn w:val="DefaultParagraphFont"/>
    <w:rsid w:val="0040284F"/>
  </w:style>
  <w:style w:type="character" w:styleId="FollowedHyperlink">
    <w:name w:val="FollowedHyperlink"/>
    <w:basedOn w:val="DefaultParagraphFont"/>
    <w:uiPriority w:val="99"/>
    <w:semiHidden/>
    <w:unhideWhenUsed/>
    <w:rsid w:val="00284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amric@tcss.net" TargetMode="External"/><Relationship Id="rId5" Type="http://schemas.openxmlformats.org/officeDocument/2006/relationships/hyperlink" Target="https://www.alabamaachieves.org/wp-content/uploads/2021/03/2019-Alabama-Mathematics-COS-Rev.-6-2021.pdf" TargetMode="External"/><Relationship Id="rId4" Type="http://schemas.openxmlformats.org/officeDocument/2006/relationships/hyperlink" Target="mailto:ahamric@tc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 Hamric</dc:creator>
  <cp:keywords/>
  <dc:description/>
  <cp:lastModifiedBy>Andrew K. Hamric</cp:lastModifiedBy>
  <cp:revision>3</cp:revision>
  <dcterms:created xsi:type="dcterms:W3CDTF">2022-08-08T15:49:00Z</dcterms:created>
  <dcterms:modified xsi:type="dcterms:W3CDTF">2023-01-02T16:36:00Z</dcterms:modified>
</cp:coreProperties>
</file>